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68F17" w14:textId="77777777" w:rsidR="000F2FE1" w:rsidRDefault="000F2FE1">
      <w:pPr>
        <w:ind w:firstLineChars="300" w:firstLine="1290"/>
        <w:rPr>
          <w:rFonts w:ascii="黑体" w:eastAsia="黑体" w:hAnsi="黑体" w:cs="FZXBSJW--GB1-0"/>
          <w:color w:val="231F20"/>
          <w:sz w:val="43"/>
          <w:szCs w:val="43"/>
        </w:rPr>
      </w:pPr>
    </w:p>
    <w:p w14:paraId="5A95CFF9" w14:textId="0FAC0132" w:rsidR="00233111" w:rsidRPr="000F2FE1" w:rsidRDefault="00000000">
      <w:pPr>
        <w:ind w:firstLineChars="300" w:firstLine="1290"/>
        <w:rPr>
          <w:rFonts w:ascii="黑体" w:eastAsia="黑体" w:hAnsi="黑体" w:cs="FZXBSJW--GB1-0"/>
          <w:color w:val="231F20"/>
          <w:sz w:val="43"/>
          <w:szCs w:val="43"/>
        </w:rPr>
      </w:pPr>
      <w:r w:rsidRPr="000F2FE1">
        <w:rPr>
          <w:rFonts w:ascii="黑体" w:eastAsia="黑体" w:hAnsi="黑体" w:cs="FZXBSJW--GB1-0"/>
          <w:color w:val="231F20"/>
          <w:sz w:val="43"/>
          <w:szCs w:val="43"/>
        </w:rPr>
        <w:t>四川革命老区发展研究中心</w:t>
      </w:r>
      <w:r w:rsidR="000F2FE1" w:rsidRPr="000F2FE1">
        <w:rPr>
          <w:rFonts w:ascii="黑体" w:eastAsia="黑体" w:hAnsi="黑体" w:cs="宋体" w:hint="eastAsia"/>
          <w:color w:val="231F20"/>
          <w:sz w:val="43"/>
          <w:szCs w:val="43"/>
        </w:rPr>
        <w:t>简介</w:t>
      </w:r>
    </w:p>
    <w:p w14:paraId="5E0C4AC8" w14:textId="77777777" w:rsidR="000F2FE1" w:rsidRPr="000F2FE1" w:rsidRDefault="000F2FE1">
      <w:pPr>
        <w:ind w:firstLineChars="200" w:firstLine="560"/>
        <w:rPr>
          <w:rFonts w:ascii="黑体" w:eastAsia="黑体" w:hAnsi="黑体" w:cs="FZFSK--GBK1-0"/>
          <w:color w:val="231F20"/>
          <w:sz w:val="28"/>
          <w:szCs w:val="28"/>
        </w:rPr>
      </w:pPr>
    </w:p>
    <w:p w14:paraId="2E53B67F" w14:textId="1784D5D7" w:rsidR="00233111" w:rsidRPr="000F2FE1" w:rsidRDefault="00000000">
      <w:pPr>
        <w:ind w:firstLineChars="200" w:firstLine="560"/>
        <w:rPr>
          <w:rFonts w:ascii="仿宋" w:eastAsia="仿宋" w:hAnsi="仿宋" w:cs="FZFSK--GBK1-0"/>
          <w:color w:val="231F20"/>
          <w:sz w:val="28"/>
          <w:szCs w:val="28"/>
        </w:rPr>
      </w:pPr>
      <w:r w:rsidRPr="000F2FE1">
        <w:rPr>
          <w:rFonts w:ascii="仿宋" w:eastAsia="仿宋" w:hAnsi="仿宋" w:cs="FZFSK--GBK1-0"/>
          <w:color w:val="231F20"/>
          <w:sz w:val="28"/>
          <w:szCs w:val="28"/>
        </w:rPr>
        <w:t>中心成立于</w:t>
      </w:r>
      <w:r w:rsidRPr="000F2FE1">
        <w:rPr>
          <w:rFonts w:ascii="仿宋" w:eastAsia="仿宋" w:hAnsi="仿宋" w:cs="TimesNewRomanPSMT"/>
          <w:color w:val="231F20"/>
          <w:sz w:val="28"/>
          <w:szCs w:val="28"/>
        </w:rPr>
        <w:t>2008</w:t>
      </w:r>
      <w:r w:rsidRPr="000F2FE1">
        <w:rPr>
          <w:rFonts w:ascii="仿宋" w:eastAsia="仿宋" w:hAnsi="仿宋" w:cs="FZFSK--GBK1-0"/>
          <w:color w:val="231F20"/>
          <w:sz w:val="28"/>
          <w:szCs w:val="28"/>
        </w:rPr>
        <w:t>年</w:t>
      </w:r>
      <w:r w:rsidRPr="000F2FE1">
        <w:rPr>
          <w:rFonts w:ascii="仿宋" w:eastAsia="仿宋" w:hAnsi="仿宋" w:cs="TimesNewRomanPSMT"/>
          <w:color w:val="231F20"/>
          <w:sz w:val="28"/>
          <w:szCs w:val="28"/>
        </w:rPr>
        <w:t>1</w:t>
      </w:r>
      <w:r w:rsidRPr="000F2FE1">
        <w:rPr>
          <w:rFonts w:ascii="仿宋" w:eastAsia="仿宋" w:hAnsi="仿宋" w:cs="FZFSK--GBK1-0"/>
          <w:color w:val="231F20"/>
          <w:sz w:val="28"/>
          <w:szCs w:val="28"/>
        </w:rPr>
        <w:t>月，</w:t>
      </w:r>
      <w:r w:rsidRPr="000F2FE1">
        <w:rPr>
          <w:rFonts w:ascii="仿宋" w:eastAsia="仿宋" w:hAnsi="仿宋" w:cs="TimesNewRomanPSMT"/>
          <w:color w:val="231F20"/>
          <w:sz w:val="28"/>
          <w:szCs w:val="28"/>
        </w:rPr>
        <w:t>2009</w:t>
      </w:r>
      <w:r w:rsidRPr="000F2FE1">
        <w:rPr>
          <w:rFonts w:ascii="仿宋" w:eastAsia="仿宋" w:hAnsi="仿宋" w:cs="FZFSK--GBK1-0"/>
          <w:color w:val="231F20"/>
          <w:sz w:val="28"/>
          <w:szCs w:val="28"/>
        </w:rPr>
        <w:t>年成为四川省教育厅人文社会科学重点研究基地，</w:t>
      </w:r>
      <w:r w:rsidRPr="000F2FE1">
        <w:rPr>
          <w:rFonts w:ascii="仿宋" w:eastAsia="仿宋" w:hAnsi="仿宋" w:cs="TimesNewRomanPSMT"/>
          <w:color w:val="231F20"/>
          <w:sz w:val="28"/>
          <w:szCs w:val="28"/>
        </w:rPr>
        <w:t>2010</w:t>
      </w:r>
      <w:r w:rsidRPr="000F2FE1">
        <w:rPr>
          <w:rFonts w:ascii="仿宋" w:eastAsia="仿宋" w:hAnsi="仿宋" w:cs="FZFSK--GBK1-0"/>
          <w:color w:val="231F20"/>
          <w:sz w:val="28"/>
          <w:szCs w:val="28"/>
        </w:rPr>
        <w:t>年成为四川省哲学社会科学重点研究基地。</w:t>
      </w:r>
    </w:p>
    <w:p w14:paraId="62CC8BF9" w14:textId="77777777" w:rsidR="00233111" w:rsidRPr="000F2FE1" w:rsidRDefault="00000000">
      <w:pPr>
        <w:ind w:firstLineChars="200" w:firstLine="560"/>
        <w:rPr>
          <w:rFonts w:ascii="仿宋" w:eastAsia="仿宋" w:hAnsi="仿宋" w:cs="FZFSK--GBK1-0"/>
          <w:color w:val="231F20"/>
          <w:sz w:val="28"/>
          <w:szCs w:val="28"/>
        </w:rPr>
      </w:pPr>
      <w:r w:rsidRPr="000F2FE1">
        <w:rPr>
          <w:rFonts w:ascii="仿宋" w:eastAsia="仿宋" w:hAnsi="仿宋" w:cs="FZFSK--GBK1-0"/>
          <w:color w:val="231F20"/>
          <w:sz w:val="28"/>
          <w:szCs w:val="28"/>
        </w:rPr>
        <w:t>目前中心围绕革命老区经济社会发展、川陕苏区历史文化、绿色发展等研究方向，组建有“川陕苏区历史文化”“四川革命老区山地生态农业”“四川革命老区产业振兴”“革命老区康养产业与旅游综合体规划”“秦巴山区生物多样性与生态修复”等多个研 团队。</w:t>
      </w:r>
    </w:p>
    <w:p w14:paraId="4FDEF71F" w14:textId="77777777" w:rsidR="00233111" w:rsidRPr="000F2FE1" w:rsidRDefault="00000000">
      <w:pPr>
        <w:ind w:firstLineChars="200" w:firstLine="560"/>
        <w:rPr>
          <w:rFonts w:ascii="仿宋" w:eastAsia="仿宋" w:hAnsi="仿宋" w:cs="FZFSK--GBK1-0"/>
          <w:color w:val="231F20"/>
          <w:sz w:val="28"/>
          <w:szCs w:val="28"/>
        </w:rPr>
      </w:pPr>
      <w:r w:rsidRPr="000F2FE1">
        <w:rPr>
          <w:rFonts w:ascii="仿宋" w:eastAsia="仿宋" w:hAnsi="仿宋" w:cs="FZFSK--GBK1-0"/>
          <w:color w:val="231F20"/>
          <w:sz w:val="28"/>
          <w:szCs w:val="28"/>
        </w:rPr>
        <w:t xml:space="preserve">中心每年编辑《重要成果专报》，向相关部门和机构及时传递关键信息与研究成果；精心编纂《四川革命老区红色 文化研究》《万达开区域经济社会发展研究》，深入探寻革命老区红色文化及产业发展的相关问题。此外，还定期出版《四川革命老区发展研究》，全面剖析四川革命老区经济社会发展现状、面临 问题及未来路径，为老区的振兴发展贡献智慧与力量。 </w:t>
      </w:r>
    </w:p>
    <w:p w14:paraId="32170789" w14:textId="77777777" w:rsidR="00233111" w:rsidRPr="000F2FE1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F2FE1">
        <w:rPr>
          <w:rFonts w:ascii="仿宋" w:eastAsia="仿宋" w:hAnsi="仿宋" w:cs="FZFSK--GBK1-0"/>
          <w:color w:val="231F20"/>
          <w:sz w:val="28"/>
          <w:szCs w:val="28"/>
        </w:rPr>
        <w:t>中心拥有一支结构合理的高素质科研队伍，现有专兼职研究人员</w:t>
      </w:r>
      <w:r w:rsidRPr="000F2FE1">
        <w:rPr>
          <w:rFonts w:ascii="仿宋" w:eastAsia="仿宋" w:hAnsi="仿宋" w:cs="TimesNewRomanPSMT"/>
          <w:color w:val="231F20"/>
          <w:sz w:val="28"/>
          <w:szCs w:val="28"/>
        </w:rPr>
        <w:t>75</w:t>
      </w:r>
      <w:r w:rsidRPr="000F2FE1">
        <w:rPr>
          <w:rFonts w:ascii="仿宋" w:eastAsia="仿宋" w:hAnsi="仿宋" w:cs="FZFSK--GBK1-0"/>
          <w:color w:val="231F20"/>
          <w:sz w:val="28"/>
          <w:szCs w:val="28"/>
        </w:rPr>
        <w:t>人，近年来，主持完成国家级项目</w:t>
      </w:r>
      <w:r w:rsidRPr="000F2FE1">
        <w:rPr>
          <w:rFonts w:ascii="仿宋" w:eastAsia="仿宋" w:hAnsi="仿宋" w:cs="TimesNewRomanPSMT"/>
          <w:color w:val="231F20"/>
          <w:sz w:val="28"/>
          <w:szCs w:val="28"/>
        </w:rPr>
        <w:t>8</w:t>
      </w:r>
      <w:r w:rsidRPr="000F2FE1">
        <w:rPr>
          <w:rFonts w:ascii="仿宋" w:eastAsia="仿宋" w:hAnsi="仿宋" w:cs="FZFSK--GBK1-0"/>
          <w:color w:val="231F20"/>
          <w:sz w:val="28"/>
          <w:szCs w:val="28"/>
        </w:rPr>
        <w:t>项，省部级项目</w:t>
      </w:r>
      <w:r w:rsidRPr="000F2FE1">
        <w:rPr>
          <w:rFonts w:ascii="仿宋" w:eastAsia="仿宋" w:hAnsi="仿宋" w:cs="TimesNewRomanPSMT"/>
          <w:color w:val="231F20"/>
          <w:sz w:val="28"/>
          <w:szCs w:val="28"/>
        </w:rPr>
        <w:t xml:space="preserve">40 </w:t>
      </w:r>
      <w:r w:rsidRPr="000F2FE1">
        <w:rPr>
          <w:rFonts w:ascii="仿宋" w:eastAsia="仿宋" w:hAnsi="仿宋" w:cs="FZFSK--GBK1-0"/>
          <w:color w:val="231F20"/>
          <w:sz w:val="28"/>
          <w:szCs w:val="28"/>
        </w:rPr>
        <w:t>余项；承担革命老区各级各类项目</w:t>
      </w:r>
      <w:r w:rsidRPr="000F2FE1">
        <w:rPr>
          <w:rFonts w:ascii="仿宋" w:eastAsia="仿宋" w:hAnsi="仿宋" w:cs="TimesNewRomanPSMT"/>
          <w:color w:val="231F20"/>
          <w:sz w:val="28"/>
          <w:szCs w:val="28"/>
        </w:rPr>
        <w:t>100</w:t>
      </w:r>
      <w:r w:rsidRPr="000F2FE1">
        <w:rPr>
          <w:rFonts w:ascii="仿宋" w:eastAsia="仿宋" w:hAnsi="仿宋" w:cs="FZFSK--GBK1-0"/>
          <w:color w:val="231F20"/>
          <w:sz w:val="28"/>
          <w:szCs w:val="28"/>
        </w:rPr>
        <w:t>余项（其中获得横向项目经费</w:t>
      </w:r>
      <w:r w:rsidRPr="000F2FE1">
        <w:rPr>
          <w:rFonts w:ascii="仿宋" w:eastAsia="仿宋" w:hAnsi="仿宋" w:cs="TimesNewRomanPSMT"/>
          <w:color w:val="231F20"/>
          <w:sz w:val="28"/>
          <w:szCs w:val="28"/>
        </w:rPr>
        <w:t>600</w:t>
      </w:r>
      <w:r w:rsidRPr="000F2FE1">
        <w:rPr>
          <w:rFonts w:ascii="仿宋" w:eastAsia="仿宋" w:hAnsi="仿宋" w:cs="FZFSK--GBK1-0"/>
          <w:color w:val="231F20"/>
          <w:sz w:val="28"/>
          <w:szCs w:val="28"/>
        </w:rPr>
        <w:t>余万元）；出版学术专著</w:t>
      </w:r>
      <w:r w:rsidRPr="000F2FE1">
        <w:rPr>
          <w:rFonts w:ascii="仿宋" w:eastAsia="仿宋" w:hAnsi="仿宋" w:cs="TimesNewRomanPSMT"/>
          <w:color w:val="231F20"/>
          <w:sz w:val="28"/>
          <w:szCs w:val="28"/>
        </w:rPr>
        <w:t>32</w:t>
      </w:r>
      <w:r w:rsidRPr="000F2FE1">
        <w:rPr>
          <w:rFonts w:ascii="仿宋" w:eastAsia="仿宋" w:hAnsi="仿宋" w:cs="FZFSK--GBK1-0"/>
          <w:color w:val="231F20"/>
          <w:sz w:val="28"/>
          <w:szCs w:val="28"/>
        </w:rPr>
        <w:t>部，发表论文</w:t>
      </w:r>
      <w:r w:rsidRPr="000F2FE1">
        <w:rPr>
          <w:rFonts w:ascii="仿宋" w:eastAsia="仿宋" w:hAnsi="仿宋" w:cs="TimesNewRomanPSMT"/>
          <w:color w:val="231F20"/>
          <w:sz w:val="28"/>
          <w:szCs w:val="28"/>
        </w:rPr>
        <w:t>500</w:t>
      </w:r>
      <w:r w:rsidRPr="000F2FE1">
        <w:rPr>
          <w:rFonts w:ascii="仿宋" w:eastAsia="仿宋" w:hAnsi="仿宋" w:cs="FZFSK--GBK1-0"/>
          <w:color w:val="231F20"/>
          <w:sz w:val="28"/>
          <w:szCs w:val="28"/>
        </w:rPr>
        <w:t>余篇。中心重视成果转化，积极服务地方，编辑报送的重要成果专报有</w:t>
      </w:r>
      <w:r w:rsidRPr="000F2FE1">
        <w:rPr>
          <w:rFonts w:ascii="仿宋" w:eastAsia="仿宋" w:hAnsi="仿宋" w:cs="TimesNewRomanPSMT"/>
          <w:color w:val="231F20"/>
          <w:sz w:val="28"/>
          <w:szCs w:val="28"/>
        </w:rPr>
        <w:t>60</w:t>
      </w:r>
      <w:r w:rsidRPr="000F2FE1">
        <w:rPr>
          <w:rFonts w:ascii="仿宋" w:eastAsia="仿宋" w:hAnsi="仿宋" w:cs="FZFSK--GBK1-0"/>
          <w:color w:val="231F20"/>
          <w:sz w:val="28"/>
          <w:szCs w:val="28"/>
        </w:rPr>
        <w:t>余期获得省市领导肯定性批示，提交的咨询报告、专家建 议</w:t>
      </w:r>
      <w:r w:rsidRPr="000F2FE1">
        <w:rPr>
          <w:rFonts w:ascii="仿宋" w:eastAsia="仿宋" w:hAnsi="仿宋" w:cs="TimesNewRomanPSMT"/>
          <w:color w:val="231F20"/>
          <w:sz w:val="28"/>
          <w:szCs w:val="28"/>
        </w:rPr>
        <w:t>100</w:t>
      </w:r>
      <w:r w:rsidRPr="000F2FE1">
        <w:rPr>
          <w:rFonts w:ascii="仿宋" w:eastAsia="仿宋" w:hAnsi="仿宋" w:cs="FZFSK--GBK1-0"/>
          <w:color w:val="231F20"/>
          <w:sz w:val="28"/>
          <w:szCs w:val="28"/>
        </w:rPr>
        <w:t>余份被有关部门采纳。</w:t>
      </w:r>
    </w:p>
    <w:sectPr w:rsidR="00233111" w:rsidRPr="000F2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Calibri"/>
    <w:charset w:val="00"/>
    <w:family w:val="auto"/>
    <w:pitch w:val="default"/>
  </w:font>
  <w:font w:name="FZFSK--GBK1-0">
    <w:altName w:val="Calibri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Y2OTBiYTM5OTc4MzA0YjMxMmI3Njg4ZDRlZDM1NjEifQ=="/>
  </w:docVars>
  <w:rsids>
    <w:rsidRoot w:val="00233111"/>
    <w:rsid w:val="000F2FE1"/>
    <w:rsid w:val="00233111"/>
    <w:rsid w:val="00F1678B"/>
    <w:rsid w:val="4FB93783"/>
    <w:rsid w:val="7065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4F62D0"/>
  <w15:docId w15:val="{C521CA2B-EEF7-437B-96ED-1A63BDC5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小婷 张</cp:lastModifiedBy>
  <cp:revision>2</cp:revision>
  <dcterms:created xsi:type="dcterms:W3CDTF">2024-10-15T02:55:00Z</dcterms:created>
  <dcterms:modified xsi:type="dcterms:W3CDTF">2024-10-15T03:21:00Z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A399712B67A44DBD8ECCB87E1D18E0A8_12</vt:lpwstr>
  </property>
</Properties>
</file>