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5CFF9">
      <w:pPr>
        <w:ind w:firstLine="1293" w:firstLineChars="300"/>
        <w:rPr>
          <w:rFonts w:ascii="FZXBSJW--GB1-0" w:hAnsi="FZXBSJW--GB1-0" w:eastAsia="FZXBSJW--GB1-0" w:cs="FZXBSJW--GB1-0"/>
          <w:b w:val="0"/>
          <w:bCs w:val="0"/>
          <w:color w:val="231F20"/>
          <w:sz w:val="43"/>
          <w:szCs w:val="43"/>
        </w:rPr>
      </w:pPr>
      <w:r>
        <w:rPr>
          <w:rFonts w:ascii="FZXBSJW--GB1-0" w:hAnsi="FZXBSJW--GB1-0" w:eastAsia="FZXBSJW--GB1-0" w:cs="FZXBSJW--GB1-0"/>
          <w:b w:val="0"/>
          <w:bCs w:val="0"/>
          <w:color w:val="231F20"/>
          <w:sz w:val="43"/>
          <w:szCs w:val="43"/>
        </w:rPr>
        <w:t>四川革命老区发展研究中心</w:t>
      </w:r>
    </w:p>
    <w:p w14:paraId="2E53B67F">
      <w:pPr>
        <w:ind w:firstLine="628" w:firstLineChars="200"/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</w:pPr>
      <w:bookmarkStart w:id="0" w:name="_GoBack"/>
      <w:bookmarkEnd w:id="0"/>
      <w:r>
        <w:rPr>
          <w:rFonts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中心成立于</w:t>
      </w:r>
      <w:r>
        <w:rPr>
          <w:rFonts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2008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年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1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月，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2009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年成为四川省教育厅人文社会科学重点研究基地，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2010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年成为四川省哲学社会科学重点研究基地。</w:t>
      </w:r>
    </w:p>
    <w:p w14:paraId="62CC8BF9">
      <w:pPr>
        <w:ind w:firstLine="628" w:firstLineChars="200"/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</w:pP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目前中心围绕革命老区经济社会发展、川陕苏区历史文化、绿色发展等研究方向，组建有“川陕苏区历史文化”“四川革命老区山地生态农业”“四川革命老区产业振兴”“革命老区康养产业与旅游综合体规划”“秦巴山区生物多样性与生态修复”等多个研 团队。</w:t>
      </w:r>
    </w:p>
    <w:p w14:paraId="4FDEF71F">
      <w:pPr>
        <w:ind w:firstLine="628" w:firstLineChars="200"/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</w:pP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 xml:space="preserve">中心每年编辑《重要成果专报》，向相关部门和机构及时传递关键信息与研究成果；精心编纂《四川革命老区红色 文化研究》《万达开区域经济社会发展研究》，深入探寻革命老区红色文化及产业发展的相关问题。此外，还定期出版《四川革命老区发展研究》，全面剖析四川革命老区经济社会发展现状、面临 问题及未来路径，为老区的振兴发展贡献智慧与力量。 </w:t>
      </w:r>
    </w:p>
    <w:p w14:paraId="32170789">
      <w:pPr>
        <w:ind w:firstLine="628" w:firstLineChars="200"/>
      </w:pP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中心拥有一支结构合理的高素质科研队伍，现有专兼职研究人员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75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人，近年来，主持完成国家级项目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8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项，省部级项目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 xml:space="preserve">40 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余项；承担革命老区各级各类项目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100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余项（其中获得横向项目经费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600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余万元）；出版学术专著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32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部，发表论文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500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余篇。中心重视成果转化，积极服务地方，编辑报送的重要成果专报有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60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余期获得省市领导肯定性批示，提交的咨询报告、专家建 议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231F20"/>
          <w:sz w:val="31"/>
          <w:szCs w:val="31"/>
        </w:rPr>
        <w:t>100</w:t>
      </w:r>
      <w:r>
        <w:rPr>
          <w:rFonts w:hint="default" w:ascii="FZFSK--GBK1-0" w:hAnsi="FZFSK--GBK1-0" w:eastAsia="FZFSK--GBK1-0" w:cs="FZFSK--GBK1-0"/>
          <w:b w:val="0"/>
          <w:bCs w:val="0"/>
          <w:color w:val="231F20"/>
          <w:sz w:val="31"/>
          <w:szCs w:val="31"/>
        </w:rPr>
        <w:t>余份被有关部门采纳。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JW--GB1-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FZSSK--GBK1-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Regular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OTBiYTM5OTc4MzA0YjMxMmI3Njg4ZDRlZDM1NjEifQ=="/>
  </w:docVars>
  <w:rsids>
    <w:rsidRoot w:val="00000000"/>
    <w:rsid w:val="4FB93783"/>
    <w:rsid w:val="706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2024-10-15T02:55:54Z</dcterms:created>
  <dc:creator>HP</dc:creator>
  <cp:lastModifiedBy>HP</cp:lastModifiedBy>
  <dcterms:modified xsi:type="dcterms:W3CDTF">2024-10-15T03:00:32Z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A399712B67A44DBD8ECCB87E1D18E0A8_12</vt:lpwstr>
  </property>
</Properties>
</file>